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BDB98" w14:textId="52CD8C76" w:rsidR="009765D7" w:rsidRPr="009765D7" w:rsidRDefault="00D4549E" w:rsidP="009765D7">
      <w:pPr>
        <w:jc w:val="center"/>
        <w:rPr>
          <w:rFonts w:asciiTheme="majorHAnsi" w:eastAsiaTheme="majorEastAsia" w:hAnsiTheme="majorHAnsi" w:cstheme="majorBidi"/>
          <w:color w:val="365F91" w:themeColor="accent1" w:themeShade="BF"/>
          <w:sz w:val="28"/>
          <w:szCs w:val="28"/>
        </w:rPr>
      </w:pPr>
      <w:r w:rsidRPr="009765D7">
        <w:rPr>
          <w:sz w:val="28"/>
          <w:szCs w:val="36"/>
        </w:rPr>
        <w:t>Stage </w:t>
      </w:r>
      <w:r>
        <w:t xml:space="preserve">: </w:t>
      </w:r>
      <w:r w:rsidR="009C75B4" w:rsidRPr="009C75B4">
        <w:rPr>
          <w:rFonts w:asciiTheme="majorHAnsi" w:eastAsiaTheme="majorEastAsia" w:hAnsiTheme="majorHAnsi" w:cstheme="majorBidi"/>
          <w:color w:val="365F91" w:themeColor="accent1" w:themeShade="BF"/>
          <w:sz w:val="28"/>
          <w:szCs w:val="28"/>
          <w:highlight w:val="yellow"/>
        </w:rPr>
        <w:t>Sujet du stage</w:t>
      </w:r>
    </w:p>
    <w:p w14:paraId="74962D97" w14:textId="26242EB6" w:rsidR="00FB4117" w:rsidRDefault="00FB4117" w:rsidP="009765D7"/>
    <w:tbl>
      <w:tblPr>
        <w:tblStyle w:val="Grilledutableau"/>
        <w:tblW w:w="11023" w:type="dxa"/>
        <w:tblInd w:w="-5" w:type="dxa"/>
        <w:tblCellMar>
          <w:left w:w="103" w:type="dxa"/>
        </w:tblCellMar>
        <w:tblLook w:val="04A0" w:firstRow="1" w:lastRow="0" w:firstColumn="1" w:lastColumn="0" w:noHBand="0" w:noVBand="1"/>
      </w:tblPr>
      <w:tblGrid>
        <w:gridCol w:w="1708"/>
        <w:gridCol w:w="9315"/>
      </w:tblGrid>
      <w:tr w:rsidR="00FB4117" w14:paraId="38D47915" w14:textId="77777777" w:rsidTr="009765D7">
        <w:tc>
          <w:tcPr>
            <w:tcW w:w="1708" w:type="dxa"/>
            <w:shd w:val="clear" w:color="auto" w:fill="auto"/>
          </w:tcPr>
          <w:p w14:paraId="405FE335" w14:textId="77777777" w:rsidR="00FB4117" w:rsidRDefault="00D4549E">
            <w:pPr>
              <w:spacing w:after="0"/>
              <w:rPr>
                <w:b/>
                <w:i/>
                <w:szCs w:val="18"/>
              </w:rPr>
            </w:pPr>
            <w:r>
              <w:rPr>
                <w:b/>
                <w:i/>
                <w:szCs w:val="18"/>
              </w:rPr>
              <w:t>Référence</w:t>
            </w:r>
          </w:p>
        </w:tc>
        <w:tc>
          <w:tcPr>
            <w:tcW w:w="9315" w:type="dxa"/>
            <w:shd w:val="clear" w:color="auto" w:fill="auto"/>
            <w:vAlign w:val="center"/>
          </w:tcPr>
          <w:p w14:paraId="399C361B" w14:textId="04B83A8A" w:rsidR="00FB4117" w:rsidRDefault="00D4549E">
            <w:pPr>
              <w:spacing w:after="0"/>
            </w:pPr>
            <w:r>
              <w:rPr>
                <w:szCs w:val="18"/>
              </w:rPr>
              <w:t>CYBERINSTITUTE-INT-</w:t>
            </w:r>
            <w:r w:rsidR="009C75B4" w:rsidRPr="009C75B4">
              <w:rPr>
                <w:szCs w:val="18"/>
              </w:rPr>
              <w:t xml:space="preserve">XXXX (à compléter par </w:t>
            </w:r>
            <w:proofErr w:type="spellStart"/>
            <w:r w:rsidR="009C75B4" w:rsidRPr="009C75B4">
              <w:rPr>
                <w:szCs w:val="18"/>
              </w:rPr>
              <w:t>CyberAlps</w:t>
            </w:r>
            <w:proofErr w:type="spellEnd"/>
            <w:r w:rsidR="009C75B4" w:rsidRPr="009C75B4">
              <w:rPr>
                <w:szCs w:val="18"/>
              </w:rPr>
              <w:t>)</w:t>
            </w:r>
          </w:p>
        </w:tc>
      </w:tr>
      <w:tr w:rsidR="00FB4117" w14:paraId="4660AD6B" w14:textId="77777777" w:rsidTr="009765D7">
        <w:tc>
          <w:tcPr>
            <w:tcW w:w="1708" w:type="dxa"/>
            <w:shd w:val="clear" w:color="auto" w:fill="auto"/>
          </w:tcPr>
          <w:p w14:paraId="4A35FB36" w14:textId="77777777" w:rsidR="00FB4117" w:rsidRDefault="00D4549E">
            <w:pPr>
              <w:spacing w:after="0"/>
              <w:rPr>
                <w:b/>
                <w:i/>
                <w:szCs w:val="18"/>
              </w:rPr>
            </w:pPr>
            <w:r>
              <w:rPr>
                <w:b/>
                <w:i/>
                <w:szCs w:val="18"/>
              </w:rPr>
              <w:t>Description</w:t>
            </w:r>
          </w:p>
        </w:tc>
        <w:tc>
          <w:tcPr>
            <w:tcW w:w="9315" w:type="dxa"/>
            <w:shd w:val="clear" w:color="auto" w:fill="auto"/>
            <w:vAlign w:val="center"/>
          </w:tcPr>
          <w:p w14:paraId="25634681" w14:textId="357BCA5F" w:rsidR="009C75B4" w:rsidRPr="009C75B4" w:rsidRDefault="009C75B4">
            <w:r w:rsidRPr="009C75B4">
              <w:rPr>
                <w:highlight w:val="yellow"/>
              </w:rPr>
              <w:t>[…]</w:t>
            </w:r>
          </w:p>
          <w:p w14:paraId="5365239C" w14:textId="6A13FFE5" w:rsidR="009C75B4" w:rsidRPr="009C75B4" w:rsidRDefault="009C75B4">
            <w:pPr>
              <w:rPr>
                <w:u w:val="single"/>
              </w:rPr>
            </w:pPr>
          </w:p>
          <w:p w14:paraId="1C4CE76F" w14:textId="4D574EBC" w:rsidR="009C75B4" w:rsidRDefault="009C75B4">
            <w:pPr>
              <w:rPr>
                <w:u w:val="single"/>
              </w:rPr>
            </w:pPr>
          </w:p>
          <w:p w14:paraId="29747217" w14:textId="7349B67E" w:rsidR="009C75B4" w:rsidRDefault="009C75B4">
            <w:pPr>
              <w:rPr>
                <w:u w:val="single"/>
              </w:rPr>
            </w:pPr>
          </w:p>
          <w:p w14:paraId="6DEAED51" w14:textId="689F2BD8" w:rsidR="009C75B4" w:rsidRDefault="009C75B4">
            <w:pPr>
              <w:rPr>
                <w:u w:val="single"/>
              </w:rPr>
            </w:pPr>
          </w:p>
          <w:p w14:paraId="3D61DB34" w14:textId="6E233CA5" w:rsidR="009C75B4" w:rsidRDefault="009C75B4">
            <w:pPr>
              <w:rPr>
                <w:u w:val="single"/>
              </w:rPr>
            </w:pPr>
          </w:p>
          <w:p w14:paraId="58DA6F37" w14:textId="77777777" w:rsidR="009C75B4" w:rsidRPr="009C75B4" w:rsidRDefault="009C75B4">
            <w:pPr>
              <w:rPr>
                <w:u w:val="single"/>
              </w:rPr>
            </w:pPr>
          </w:p>
          <w:p w14:paraId="71F75140" w14:textId="3014975A" w:rsidR="00FB4117" w:rsidRDefault="00D4549E">
            <w:pPr>
              <w:rPr>
                <w:u w:val="single"/>
              </w:rPr>
            </w:pPr>
            <w:r>
              <w:rPr>
                <w:u w:val="single"/>
              </w:rPr>
              <w:t>Contexte</w:t>
            </w:r>
          </w:p>
          <w:p w14:paraId="37F4F432" w14:textId="77777777" w:rsidR="003B1526" w:rsidRPr="003B1526" w:rsidRDefault="003B1526" w:rsidP="003B1526">
            <w:pPr>
              <w:rPr>
                <w:i/>
              </w:rPr>
            </w:pPr>
            <w:r w:rsidRPr="003B1526">
              <w:rPr>
                <w:i/>
              </w:rPr>
              <w:t xml:space="preserve">Le projet CDT </w:t>
            </w:r>
            <w:proofErr w:type="spellStart"/>
            <w:r w:rsidRPr="003B1526">
              <w:rPr>
                <w:i/>
              </w:rPr>
              <w:t>CyberAlps</w:t>
            </w:r>
            <w:proofErr w:type="spellEnd"/>
            <w:r w:rsidRPr="003B1526">
              <w:rPr>
                <w:i/>
              </w:rPr>
              <w:t xml:space="preserve"> vise ainsi à affirmer l’excellence de notre communauté dans les domaines suivants : (1) La sécurité du matériel, de l’embarqué aux systèmes industriels aux system-on-chip (SOC) ; (2) La souveraineté des données, tant pour les citoyens, les entreprises et les Etats ; (3) Les outils de cryptanalyse pour automatiser les évaluations des logiciels et l’investigation numérique ; (4) Les nouveaux risques pour la cybersécurité… la menace quantique, l’intelligence artificielle et les autres; (5) La régulation de la cybersécurité à l’échelle nationale, européenne et internationale.</w:t>
            </w:r>
          </w:p>
          <w:p w14:paraId="4B48E407" w14:textId="77777777" w:rsidR="00FB4117" w:rsidRDefault="003B1526" w:rsidP="003B1526">
            <w:r w:rsidRPr="003B1526">
              <w:rPr>
                <w:i/>
              </w:rPr>
              <w:t xml:space="preserve">Par sa triple mission de fédération, animation et promotion, qui a fait le succès de sa première version, le CDT </w:t>
            </w:r>
            <w:proofErr w:type="spellStart"/>
            <w:r w:rsidRPr="003B1526">
              <w:rPr>
                <w:i/>
              </w:rPr>
              <w:t>CyberAlps</w:t>
            </w:r>
            <w:proofErr w:type="spellEnd"/>
            <w:r w:rsidRPr="003B1526">
              <w:rPr>
                <w:i/>
              </w:rPr>
              <w:t xml:space="preserve"> renforcera et amplifiera les collaborations mises en place dans le CDP. Au regard des opportunités de financement du plan quantique et de la stratégie cyber, une attention particulière sera portée au financement de travaux associant étroitement STIC et SHS et visera à donner à ces dernières les moyens de rayonner pleinement. Il permettra également de financer des stages et des thèses dans les meilleurs laboratoires afin de donner le goût de la recherche, contribuer à créer des vocations et développer de nouvelles collaborations.</w:t>
            </w:r>
          </w:p>
        </w:tc>
      </w:tr>
      <w:tr w:rsidR="009765D7" w14:paraId="43E13C70" w14:textId="77777777" w:rsidTr="009765D7">
        <w:tc>
          <w:tcPr>
            <w:tcW w:w="1708" w:type="dxa"/>
            <w:shd w:val="clear" w:color="auto" w:fill="auto"/>
          </w:tcPr>
          <w:p w14:paraId="05E9C9A7" w14:textId="77777777" w:rsidR="009765D7" w:rsidRDefault="009765D7" w:rsidP="009765D7">
            <w:pPr>
              <w:spacing w:after="0"/>
              <w:rPr>
                <w:b/>
                <w:i/>
                <w:szCs w:val="18"/>
              </w:rPr>
            </w:pPr>
            <w:r>
              <w:rPr>
                <w:b/>
                <w:i/>
                <w:szCs w:val="18"/>
              </w:rPr>
              <w:t>Prérequis</w:t>
            </w:r>
          </w:p>
        </w:tc>
        <w:tc>
          <w:tcPr>
            <w:tcW w:w="9315" w:type="dxa"/>
            <w:shd w:val="clear" w:color="auto" w:fill="auto"/>
          </w:tcPr>
          <w:p w14:paraId="74E9AEBB" w14:textId="0AF04D8D" w:rsidR="009765D7" w:rsidRPr="009C75B4" w:rsidRDefault="009C75B4" w:rsidP="009765D7">
            <w:pPr>
              <w:rPr>
                <w:color w:val="1F497D" w:themeColor="text2"/>
              </w:rPr>
            </w:pPr>
            <w:r w:rsidRPr="009C75B4">
              <w:rPr>
                <w:color w:val="1F497D" w:themeColor="text2"/>
                <w:highlight w:val="yellow"/>
              </w:rPr>
              <w:t>Si applicable</w:t>
            </w:r>
          </w:p>
        </w:tc>
      </w:tr>
    </w:tbl>
    <w:p w14:paraId="32D85BF2" w14:textId="3841B58D" w:rsidR="00FB4117" w:rsidRDefault="00FB4117"/>
    <w:p w14:paraId="4BDEB1CC" w14:textId="3957B534" w:rsidR="009765D7" w:rsidRDefault="009765D7"/>
    <w:p w14:paraId="74CF5A6A" w14:textId="51CC7C22" w:rsidR="009765D7" w:rsidRDefault="009765D7"/>
    <w:p w14:paraId="2CC30649" w14:textId="77777777" w:rsidR="009765D7" w:rsidRDefault="009765D7"/>
    <w:tbl>
      <w:tblPr>
        <w:tblStyle w:val="Grilledutableau"/>
        <w:tblW w:w="11023" w:type="dxa"/>
        <w:tblInd w:w="-5" w:type="dxa"/>
        <w:tblCellMar>
          <w:left w:w="103" w:type="dxa"/>
        </w:tblCellMar>
        <w:tblLook w:val="04A0" w:firstRow="1" w:lastRow="0" w:firstColumn="1" w:lastColumn="0" w:noHBand="0" w:noVBand="1"/>
      </w:tblPr>
      <w:tblGrid>
        <w:gridCol w:w="1708"/>
        <w:gridCol w:w="9315"/>
      </w:tblGrid>
      <w:tr w:rsidR="009C75B4" w14:paraId="261829F4" w14:textId="77777777" w:rsidTr="009765D7">
        <w:tc>
          <w:tcPr>
            <w:tcW w:w="1708" w:type="dxa"/>
            <w:shd w:val="clear" w:color="auto" w:fill="auto"/>
          </w:tcPr>
          <w:p w14:paraId="314C22CA" w14:textId="77777777" w:rsidR="009C75B4" w:rsidRDefault="009C75B4" w:rsidP="009C75B4">
            <w:pPr>
              <w:spacing w:after="0"/>
              <w:rPr>
                <w:b/>
                <w:i/>
                <w:iCs/>
              </w:rPr>
            </w:pPr>
            <w:r>
              <w:rPr>
                <w:b/>
                <w:i/>
                <w:iCs/>
              </w:rPr>
              <w:t>Encadrant(s)</w:t>
            </w:r>
          </w:p>
        </w:tc>
        <w:tc>
          <w:tcPr>
            <w:tcW w:w="9315" w:type="dxa"/>
            <w:shd w:val="clear" w:color="auto" w:fill="auto"/>
          </w:tcPr>
          <w:p w14:paraId="50DF6AFC" w14:textId="475A370B" w:rsidR="009C75B4" w:rsidRPr="009765D7" w:rsidRDefault="009C75B4" w:rsidP="009C75B4">
            <w:pPr>
              <w:spacing w:after="0"/>
              <w:rPr>
                <w:color w:val="1F497D" w:themeColor="text2"/>
              </w:rPr>
            </w:pPr>
            <w:r w:rsidRPr="009C75B4">
              <w:rPr>
                <w:color w:val="1F497D" w:themeColor="text2"/>
                <w:highlight w:val="yellow"/>
              </w:rPr>
              <w:t>Si applicable</w:t>
            </w:r>
          </w:p>
        </w:tc>
      </w:tr>
      <w:tr w:rsidR="009C75B4" w14:paraId="7B1D628C" w14:textId="77777777" w:rsidTr="009765D7">
        <w:tc>
          <w:tcPr>
            <w:tcW w:w="1708" w:type="dxa"/>
            <w:tcBorders>
              <w:top w:val="nil"/>
            </w:tcBorders>
            <w:shd w:val="clear" w:color="auto" w:fill="auto"/>
          </w:tcPr>
          <w:p w14:paraId="080E3868" w14:textId="77777777" w:rsidR="009C75B4" w:rsidRDefault="009C75B4" w:rsidP="009C75B4">
            <w:pPr>
              <w:spacing w:after="0"/>
              <w:rPr>
                <w:b/>
                <w:i/>
              </w:rPr>
            </w:pPr>
            <w:r>
              <w:rPr>
                <w:b/>
                <w:i/>
              </w:rPr>
              <w:t>Candidature</w:t>
            </w:r>
          </w:p>
        </w:tc>
        <w:tc>
          <w:tcPr>
            <w:tcW w:w="9315" w:type="dxa"/>
            <w:tcBorders>
              <w:top w:val="nil"/>
            </w:tcBorders>
            <w:shd w:val="clear" w:color="auto" w:fill="auto"/>
          </w:tcPr>
          <w:p w14:paraId="24969B31" w14:textId="77777777" w:rsidR="009C75B4" w:rsidRDefault="009C75B4" w:rsidP="009C75B4">
            <w:pPr>
              <w:spacing w:after="0"/>
            </w:pPr>
            <w:r>
              <w:t xml:space="preserve">Envoyer CV, lettre de motivation avec recommandation(s) de 1 ou 2 référents (dont responsable de la formation), relevés de notes de M1 (obligatoire) à </w:t>
            </w:r>
            <w:hyperlink r:id="rId8">
              <w:r>
                <w:rPr>
                  <w:rStyle w:val="LienInternet"/>
                </w:rPr>
                <w:t>cyberalps-contact@univ-grenoble-alpes.fr</w:t>
              </w:r>
            </w:hyperlink>
          </w:p>
          <w:p w14:paraId="40CC5D20" w14:textId="452A55F1" w:rsidR="009C75B4" w:rsidRDefault="009C75B4" w:rsidP="009C75B4">
            <w:pPr>
              <w:spacing w:after="0"/>
            </w:pPr>
            <w:r>
              <w:t xml:space="preserve">Pour plus d’information sur le stage, contacter </w:t>
            </w:r>
            <w:r w:rsidRPr="009C75B4">
              <w:rPr>
                <w:highlight w:val="yellow"/>
              </w:rPr>
              <w:t>mail de l’encadrant</w:t>
            </w:r>
          </w:p>
        </w:tc>
      </w:tr>
      <w:tr w:rsidR="009C75B4" w14:paraId="4FBF6B8E" w14:textId="77777777" w:rsidTr="009765D7">
        <w:tc>
          <w:tcPr>
            <w:tcW w:w="1708" w:type="dxa"/>
            <w:shd w:val="clear" w:color="auto" w:fill="auto"/>
          </w:tcPr>
          <w:p w14:paraId="315A9177" w14:textId="77777777" w:rsidR="009C75B4" w:rsidRDefault="009C75B4" w:rsidP="009C75B4">
            <w:pPr>
              <w:spacing w:after="0"/>
              <w:rPr>
                <w:b/>
                <w:i/>
              </w:rPr>
            </w:pPr>
            <w:r>
              <w:rPr>
                <w:b/>
                <w:i/>
              </w:rPr>
              <w:t>Localisation</w:t>
            </w:r>
          </w:p>
        </w:tc>
        <w:tc>
          <w:tcPr>
            <w:tcW w:w="9315" w:type="dxa"/>
            <w:shd w:val="clear" w:color="auto" w:fill="auto"/>
          </w:tcPr>
          <w:p w14:paraId="7A8B5EC3" w14:textId="69AF77EB" w:rsidR="009C75B4" w:rsidRPr="009C75B4" w:rsidRDefault="009C75B4" w:rsidP="009C75B4">
            <w:pPr>
              <w:spacing w:after="0"/>
              <w:rPr>
                <w:color w:val="1F497D" w:themeColor="text2"/>
                <w:highlight w:val="yellow"/>
              </w:rPr>
            </w:pPr>
            <w:r w:rsidRPr="009C75B4">
              <w:rPr>
                <w:color w:val="1F497D" w:themeColor="text2"/>
                <w:highlight w:val="yellow"/>
              </w:rPr>
              <w:t xml:space="preserve">Nom du laboratoire + adresse </w:t>
            </w:r>
          </w:p>
        </w:tc>
      </w:tr>
      <w:tr w:rsidR="009C75B4" w14:paraId="4490D49C" w14:textId="77777777" w:rsidTr="009765D7">
        <w:tc>
          <w:tcPr>
            <w:tcW w:w="1708" w:type="dxa"/>
            <w:shd w:val="clear" w:color="auto" w:fill="auto"/>
          </w:tcPr>
          <w:p w14:paraId="7D8E0538" w14:textId="77777777" w:rsidR="009C75B4" w:rsidRDefault="009C75B4" w:rsidP="009C75B4">
            <w:pPr>
              <w:spacing w:after="0"/>
              <w:rPr>
                <w:b/>
                <w:i/>
              </w:rPr>
            </w:pPr>
            <w:r>
              <w:rPr>
                <w:b/>
                <w:i/>
              </w:rPr>
              <w:t>Date de début</w:t>
            </w:r>
          </w:p>
        </w:tc>
        <w:tc>
          <w:tcPr>
            <w:tcW w:w="9315" w:type="dxa"/>
            <w:shd w:val="clear" w:color="auto" w:fill="auto"/>
          </w:tcPr>
          <w:p w14:paraId="4C6B1EFE" w14:textId="3DA9B65B" w:rsidR="009C75B4" w:rsidRPr="009C75B4" w:rsidRDefault="009C75B4" w:rsidP="009C75B4">
            <w:pPr>
              <w:spacing w:after="0"/>
              <w:rPr>
                <w:color w:val="1F497D" w:themeColor="text2"/>
                <w:highlight w:val="yellow"/>
              </w:rPr>
            </w:pPr>
            <w:r w:rsidRPr="009C75B4">
              <w:rPr>
                <w:color w:val="1F497D" w:themeColor="text2"/>
                <w:highlight w:val="yellow"/>
              </w:rPr>
              <w:t>XX-XX-XXXX</w:t>
            </w:r>
          </w:p>
        </w:tc>
      </w:tr>
      <w:tr w:rsidR="009C75B4" w14:paraId="7961C055" w14:textId="77777777" w:rsidTr="009765D7">
        <w:tc>
          <w:tcPr>
            <w:tcW w:w="1708" w:type="dxa"/>
            <w:shd w:val="clear" w:color="auto" w:fill="auto"/>
          </w:tcPr>
          <w:p w14:paraId="03393274" w14:textId="77777777" w:rsidR="009C75B4" w:rsidRDefault="009C75B4" w:rsidP="009C75B4">
            <w:pPr>
              <w:spacing w:after="0"/>
              <w:rPr>
                <w:b/>
                <w:i/>
              </w:rPr>
            </w:pPr>
            <w:r>
              <w:rPr>
                <w:b/>
                <w:i/>
              </w:rPr>
              <w:t>Durée</w:t>
            </w:r>
          </w:p>
        </w:tc>
        <w:tc>
          <w:tcPr>
            <w:tcW w:w="9315" w:type="dxa"/>
            <w:shd w:val="clear" w:color="auto" w:fill="auto"/>
          </w:tcPr>
          <w:p w14:paraId="44512E15" w14:textId="5DB803A1" w:rsidR="009C75B4" w:rsidRPr="009765D7" w:rsidRDefault="009C75B4" w:rsidP="009C75B4">
            <w:pPr>
              <w:spacing w:after="0"/>
              <w:rPr>
                <w:color w:val="1F497D" w:themeColor="text2"/>
              </w:rPr>
            </w:pPr>
            <w:r w:rsidRPr="009C75B4">
              <w:rPr>
                <w:color w:val="1F497D" w:themeColor="text2"/>
                <w:highlight w:val="yellow"/>
              </w:rPr>
              <w:t>XX</w:t>
            </w:r>
            <w:r>
              <w:rPr>
                <w:color w:val="1F497D" w:themeColor="text2"/>
              </w:rPr>
              <w:t xml:space="preserve"> </w:t>
            </w:r>
            <w:r w:rsidRPr="009765D7">
              <w:rPr>
                <w:color w:val="1F497D" w:themeColor="text2"/>
              </w:rPr>
              <w:t>semaines</w:t>
            </w:r>
          </w:p>
        </w:tc>
      </w:tr>
      <w:tr w:rsidR="009C75B4" w14:paraId="5973B085" w14:textId="77777777" w:rsidTr="009765D7">
        <w:tc>
          <w:tcPr>
            <w:tcW w:w="1708" w:type="dxa"/>
            <w:shd w:val="clear" w:color="auto" w:fill="auto"/>
          </w:tcPr>
          <w:p w14:paraId="361C7284" w14:textId="77777777" w:rsidR="009C75B4" w:rsidRDefault="009C75B4" w:rsidP="009C75B4">
            <w:pPr>
              <w:spacing w:after="0"/>
              <w:rPr>
                <w:b/>
                <w:i/>
              </w:rPr>
            </w:pPr>
            <w:r>
              <w:rPr>
                <w:b/>
                <w:i/>
              </w:rPr>
              <w:t>Gratification</w:t>
            </w:r>
          </w:p>
        </w:tc>
        <w:tc>
          <w:tcPr>
            <w:tcW w:w="9315" w:type="dxa"/>
            <w:shd w:val="clear" w:color="auto" w:fill="auto"/>
          </w:tcPr>
          <w:p w14:paraId="7C6212AF" w14:textId="77777777" w:rsidR="009C75B4" w:rsidRDefault="009C75B4" w:rsidP="009C75B4">
            <w:pPr>
              <w:spacing w:after="0"/>
            </w:pPr>
            <w:r>
              <w:t>Selon réglementation en vigueur (env. 560€/mois). Possibilité de prise en charge partielle des frais de transport.</w:t>
            </w:r>
          </w:p>
        </w:tc>
      </w:tr>
    </w:tbl>
    <w:p w14:paraId="4647BC5A" w14:textId="71048A30" w:rsidR="00FB4117" w:rsidRDefault="00FB4117"/>
    <w:sectPr w:rsidR="00FB4117">
      <w:headerReference w:type="default" r:id="rId9"/>
      <w:footerReference w:type="default" r:id="rId10"/>
      <w:pgSz w:w="11906" w:h="16838"/>
      <w:pgMar w:top="199" w:right="424" w:bottom="1134" w:left="567" w:header="142" w:footer="0" w:gutter="0"/>
      <w:cols w:space="720"/>
      <w:formProt w:val="0"/>
      <w:docGrid w:linePitch="360" w:charSpace="5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9763" w14:textId="77777777" w:rsidR="00703E40" w:rsidRDefault="00703E40">
      <w:pPr>
        <w:spacing w:after="0"/>
      </w:pPr>
      <w:r>
        <w:separator/>
      </w:r>
    </w:p>
  </w:endnote>
  <w:endnote w:type="continuationSeparator" w:id="0">
    <w:p w14:paraId="20B2469D" w14:textId="77777777" w:rsidR="00703E40" w:rsidRDefault="00703E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A0BE" w14:textId="72104F7A" w:rsidR="00FB4117" w:rsidRDefault="009C75B4" w:rsidP="009C75B4">
    <w:pPr>
      <w:pStyle w:val="Pieddepage"/>
      <w:ind w:left="4668" w:firstLine="4536"/>
    </w:pPr>
    <w:r>
      <w:rPr>
        <w:noProof/>
      </w:rPr>
      <w:drawing>
        <wp:anchor distT="0" distB="0" distL="114300" distR="114300" simplePos="0" relativeHeight="251662848" behindDoc="0" locked="0" layoutInCell="1" allowOverlap="1" wp14:anchorId="0F7A9E60" wp14:editId="2587B1DD">
          <wp:simplePos x="0" y="0"/>
          <wp:positionH relativeFrom="column">
            <wp:posOffset>6268939</wp:posOffset>
          </wp:positionH>
          <wp:positionV relativeFrom="paragraph">
            <wp:posOffset>-509905</wp:posOffset>
          </wp:positionV>
          <wp:extent cx="630555" cy="59880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 cy="598805"/>
                  </a:xfrm>
                  <a:prstGeom prst="rect">
                    <a:avLst/>
                  </a:prstGeom>
                  <a:noFill/>
                  <a:ln>
                    <a:noFill/>
                  </a:ln>
                </pic:spPr>
              </pic:pic>
            </a:graphicData>
          </a:graphic>
        </wp:anchor>
      </w:drawing>
    </w:r>
    <w:r>
      <w:rPr>
        <w:noProof/>
      </w:rPr>
      <w:drawing>
        <wp:anchor distT="0" distB="0" distL="114300" distR="114300" simplePos="0" relativeHeight="251668992" behindDoc="0" locked="0" layoutInCell="1" allowOverlap="1" wp14:anchorId="1037B1AF" wp14:editId="4317D2A8">
          <wp:simplePos x="0" y="0"/>
          <wp:positionH relativeFrom="column">
            <wp:posOffset>-53296</wp:posOffset>
          </wp:positionH>
          <wp:positionV relativeFrom="paragraph">
            <wp:posOffset>-472878</wp:posOffset>
          </wp:positionV>
          <wp:extent cx="780656" cy="479121"/>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0656" cy="4791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6704" behindDoc="1" locked="0" layoutInCell="1" allowOverlap="1" wp14:anchorId="25E82D97" wp14:editId="6A86905D">
          <wp:simplePos x="0" y="0"/>
          <wp:positionH relativeFrom="column">
            <wp:posOffset>1516337</wp:posOffset>
          </wp:positionH>
          <wp:positionV relativeFrom="paragraph">
            <wp:posOffset>-407670</wp:posOffset>
          </wp:positionV>
          <wp:extent cx="4003675" cy="413385"/>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3"/>
                  <a:stretch>
                    <a:fillRect/>
                  </a:stretch>
                </pic:blipFill>
                <pic:spPr bwMode="auto">
                  <a:xfrm>
                    <a:off x="0" y="0"/>
                    <a:ext cx="4003675" cy="4133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57A6" w14:textId="77777777" w:rsidR="00703E40" w:rsidRDefault="00703E40">
      <w:pPr>
        <w:spacing w:after="0"/>
      </w:pPr>
      <w:r>
        <w:separator/>
      </w:r>
    </w:p>
  </w:footnote>
  <w:footnote w:type="continuationSeparator" w:id="0">
    <w:p w14:paraId="6A2138FF" w14:textId="77777777" w:rsidR="00703E40" w:rsidRDefault="00703E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055" w:type="dxa"/>
      <w:tblInd w:w="-5" w:type="dxa"/>
      <w:tblCellMar>
        <w:left w:w="103" w:type="dxa"/>
      </w:tblCellMar>
      <w:tblLook w:val="04A0" w:firstRow="1" w:lastRow="0" w:firstColumn="1" w:lastColumn="0" w:noHBand="0" w:noVBand="1"/>
    </w:tblPr>
    <w:tblGrid>
      <w:gridCol w:w="5527"/>
      <w:gridCol w:w="5528"/>
    </w:tblGrid>
    <w:tr w:rsidR="00FB4117" w14:paraId="4B48B2E6" w14:textId="77777777">
      <w:trPr>
        <w:trHeight w:val="982"/>
      </w:trPr>
      <w:tc>
        <w:tcPr>
          <w:tcW w:w="5527" w:type="dxa"/>
          <w:shd w:val="clear" w:color="auto" w:fill="auto"/>
          <w:vAlign w:val="center"/>
        </w:tcPr>
        <w:p w14:paraId="5C47BAD4" w14:textId="77777777" w:rsidR="00FB4117" w:rsidRDefault="00D4549E">
          <w:pPr>
            <w:pStyle w:val="En-tte"/>
            <w:jc w:val="center"/>
          </w:pPr>
          <w:r>
            <w:rPr>
              <w:noProof/>
            </w:rPr>
            <w:drawing>
              <wp:inline distT="0" distB="0" distL="0" distR="0" wp14:anchorId="58778F7B" wp14:editId="7DC85059">
                <wp:extent cx="3009265" cy="518160"/>
                <wp:effectExtent l="0" t="0" r="0" b="0"/>
                <wp:docPr id="1" name="Image 7" descr="\\10.0.2.4\qemu\rxu\Work\CyberAlps\Comm\Images\logos\cyb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7" descr="\\10.0.2.4\qemu\rxu\Work\CyberAlps\Comm\Images\logos\cyber_logo.png"/>
                        <pic:cNvPicPr>
                          <a:picLocks noChangeAspect="1" noChangeArrowheads="1"/>
                        </pic:cNvPicPr>
                      </pic:nvPicPr>
                      <pic:blipFill>
                        <a:blip r:embed="rId1"/>
                        <a:stretch>
                          <a:fillRect/>
                        </a:stretch>
                      </pic:blipFill>
                      <pic:spPr bwMode="auto">
                        <a:xfrm>
                          <a:off x="0" y="0"/>
                          <a:ext cx="3009265" cy="518160"/>
                        </a:xfrm>
                        <a:prstGeom prst="rect">
                          <a:avLst/>
                        </a:prstGeom>
                      </pic:spPr>
                    </pic:pic>
                  </a:graphicData>
                </a:graphic>
              </wp:inline>
            </w:drawing>
          </w:r>
        </w:p>
      </w:tc>
      <w:tc>
        <w:tcPr>
          <w:tcW w:w="5527" w:type="dxa"/>
          <w:shd w:val="clear" w:color="auto" w:fill="auto"/>
          <w:vAlign w:val="center"/>
        </w:tcPr>
        <w:p w14:paraId="46D74396" w14:textId="77777777" w:rsidR="00FB4117" w:rsidRDefault="00D4549E">
          <w:pPr>
            <w:pStyle w:val="En-tte"/>
            <w:jc w:val="center"/>
            <w:rPr>
              <w:highlight w:val="yellow"/>
            </w:rPr>
          </w:pPr>
          <w:r>
            <w:rPr>
              <w:highlight w:val="yellow"/>
            </w:rPr>
            <w:t>LOGOS LABO</w:t>
          </w:r>
        </w:p>
      </w:tc>
    </w:tr>
  </w:tbl>
  <w:p w14:paraId="3F04007D" w14:textId="77777777" w:rsidR="00FB4117" w:rsidRDefault="00FB41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14"/>
        </w:tabs>
        <w:ind w:left="1414" w:hanging="283"/>
      </w:pPr>
      <w:rPr>
        <w:rFonts w:ascii="Symbol" w:hAnsi="Symbol" w:cs="OpenSymbol"/>
        <w:sz w:val="22"/>
      </w:rPr>
    </w:lvl>
    <w:lvl w:ilvl="2">
      <w:start w:val="1"/>
      <w:numFmt w:val="bullet"/>
      <w:lvlText w:val=""/>
      <w:lvlJc w:val="left"/>
      <w:pPr>
        <w:tabs>
          <w:tab w:val="num" w:pos="2121"/>
        </w:tabs>
        <w:ind w:left="2121" w:hanging="283"/>
      </w:pPr>
      <w:rPr>
        <w:rFonts w:ascii="Symbol" w:hAnsi="Symbol" w:cs="OpenSymbol"/>
        <w:sz w:val="22"/>
      </w:rPr>
    </w:lvl>
    <w:lvl w:ilvl="3">
      <w:start w:val="1"/>
      <w:numFmt w:val="bullet"/>
      <w:lvlText w:val=""/>
      <w:lvlJc w:val="left"/>
      <w:pPr>
        <w:tabs>
          <w:tab w:val="num" w:pos="2828"/>
        </w:tabs>
        <w:ind w:left="2828" w:hanging="283"/>
      </w:pPr>
      <w:rPr>
        <w:rFonts w:ascii="Symbol" w:hAnsi="Symbol" w:cs="OpenSymbol"/>
        <w:sz w:val="22"/>
      </w:rPr>
    </w:lvl>
    <w:lvl w:ilvl="4">
      <w:start w:val="1"/>
      <w:numFmt w:val="bullet"/>
      <w:lvlText w:val=""/>
      <w:lvlJc w:val="left"/>
      <w:pPr>
        <w:tabs>
          <w:tab w:val="num" w:pos="3535"/>
        </w:tabs>
        <w:ind w:left="3535" w:hanging="283"/>
      </w:pPr>
      <w:rPr>
        <w:rFonts w:ascii="Symbol" w:hAnsi="Symbol" w:cs="OpenSymbol"/>
        <w:sz w:val="22"/>
      </w:rPr>
    </w:lvl>
    <w:lvl w:ilvl="5">
      <w:start w:val="1"/>
      <w:numFmt w:val="bullet"/>
      <w:lvlText w:val=""/>
      <w:lvlJc w:val="left"/>
      <w:pPr>
        <w:tabs>
          <w:tab w:val="num" w:pos="4242"/>
        </w:tabs>
        <w:ind w:left="4242" w:hanging="283"/>
      </w:pPr>
      <w:rPr>
        <w:rFonts w:ascii="Symbol" w:hAnsi="Symbol" w:cs="OpenSymbol"/>
        <w:sz w:val="22"/>
      </w:rPr>
    </w:lvl>
    <w:lvl w:ilvl="6">
      <w:start w:val="1"/>
      <w:numFmt w:val="bullet"/>
      <w:lvlText w:val=""/>
      <w:lvlJc w:val="left"/>
      <w:pPr>
        <w:tabs>
          <w:tab w:val="num" w:pos="4949"/>
        </w:tabs>
        <w:ind w:left="4949" w:hanging="283"/>
      </w:pPr>
      <w:rPr>
        <w:rFonts w:ascii="Symbol" w:hAnsi="Symbol" w:cs="OpenSymbol"/>
        <w:sz w:val="22"/>
      </w:rPr>
    </w:lvl>
    <w:lvl w:ilvl="7">
      <w:start w:val="1"/>
      <w:numFmt w:val="bullet"/>
      <w:lvlText w:val=""/>
      <w:lvlJc w:val="left"/>
      <w:pPr>
        <w:tabs>
          <w:tab w:val="num" w:pos="5656"/>
        </w:tabs>
        <w:ind w:left="5656" w:hanging="283"/>
      </w:pPr>
      <w:rPr>
        <w:rFonts w:ascii="Symbol" w:hAnsi="Symbol" w:cs="OpenSymbol"/>
        <w:sz w:val="22"/>
      </w:rPr>
    </w:lvl>
    <w:lvl w:ilvl="8">
      <w:start w:val="1"/>
      <w:numFmt w:val="bullet"/>
      <w:lvlText w:val=""/>
      <w:lvlJc w:val="left"/>
      <w:pPr>
        <w:tabs>
          <w:tab w:val="num" w:pos="6363"/>
        </w:tabs>
        <w:ind w:left="6363" w:hanging="283"/>
      </w:pPr>
      <w:rPr>
        <w:rFonts w:ascii="Symbol" w:hAnsi="Symbol" w:cs="OpenSymbol"/>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17"/>
    <w:rsid w:val="000419A2"/>
    <w:rsid w:val="002619DA"/>
    <w:rsid w:val="003B1526"/>
    <w:rsid w:val="00703E40"/>
    <w:rsid w:val="009765D7"/>
    <w:rsid w:val="009C75B4"/>
    <w:rsid w:val="00CC1477"/>
    <w:rsid w:val="00D4549E"/>
    <w:rsid w:val="00E67325"/>
    <w:rsid w:val="00EF7E6F"/>
    <w:rsid w:val="00FB411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46346"/>
  <w15:docId w15:val="{29BE8DFA-2DED-4095-955E-809A9031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BB7"/>
    <w:pPr>
      <w:spacing w:after="200"/>
      <w:jc w:val="both"/>
    </w:pPr>
    <w:rPr>
      <w:rFonts w:ascii="Calibri" w:eastAsia="Calibri" w:hAnsi="Calibri"/>
      <w:color w:val="00000A"/>
      <w:sz w:val="18"/>
    </w:rPr>
  </w:style>
  <w:style w:type="paragraph" w:styleId="Titre1">
    <w:name w:val="heading 1"/>
    <w:basedOn w:val="Normal"/>
    <w:next w:val="Normal"/>
    <w:link w:val="Titre1Car"/>
    <w:uiPriority w:val="9"/>
    <w:qFormat/>
    <w:rsid w:val="00E33C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A64E8F"/>
    <w:rPr>
      <w:rFonts w:ascii="Tahoma" w:hAnsi="Tahoma" w:cs="Tahoma"/>
      <w:sz w:val="16"/>
      <w:szCs w:val="16"/>
    </w:rPr>
  </w:style>
  <w:style w:type="character" w:customStyle="1" w:styleId="En-tteCar">
    <w:name w:val="En-tête Car"/>
    <w:basedOn w:val="Policepardfaut"/>
    <w:uiPriority w:val="99"/>
    <w:qFormat/>
    <w:rsid w:val="00A04665"/>
  </w:style>
  <w:style w:type="character" w:customStyle="1" w:styleId="PieddepageCar">
    <w:name w:val="Pied de page Car"/>
    <w:basedOn w:val="Policepardfaut"/>
    <w:link w:val="Pieddepage"/>
    <w:uiPriority w:val="99"/>
    <w:qFormat/>
    <w:rsid w:val="00A04665"/>
  </w:style>
  <w:style w:type="character" w:customStyle="1" w:styleId="Titre1Car">
    <w:name w:val="Titre 1 Car"/>
    <w:basedOn w:val="Policepardfaut"/>
    <w:link w:val="Titre1"/>
    <w:uiPriority w:val="9"/>
    <w:qFormat/>
    <w:rsid w:val="00E33CC6"/>
    <w:rPr>
      <w:rFonts w:asciiTheme="majorHAnsi" w:eastAsiaTheme="majorEastAsia" w:hAnsiTheme="majorHAnsi" w:cstheme="majorBidi"/>
      <w:b/>
      <w:bCs/>
      <w:color w:val="365F91" w:themeColor="accent1" w:themeShade="BF"/>
      <w:sz w:val="28"/>
      <w:szCs w:val="28"/>
    </w:rPr>
  </w:style>
  <w:style w:type="character" w:customStyle="1" w:styleId="Lienhypertexte1">
    <w:name w:val="Lien hypertexte1"/>
    <w:basedOn w:val="Policepardfaut"/>
    <w:uiPriority w:val="99"/>
    <w:unhideWhenUsed/>
    <w:qFormat/>
    <w:rsid w:val="0098406E"/>
    <w:rPr>
      <w:color w:val="0000FF" w:themeColor="hyperlink"/>
      <w:u w:val="single"/>
    </w:rPr>
  </w:style>
  <w:style w:type="character" w:customStyle="1" w:styleId="LienInternet">
    <w:name w:val="Lien Internet"/>
    <w:basedOn w:val="Policepardfaut"/>
    <w:uiPriority w:val="99"/>
    <w:semiHidden/>
    <w:unhideWhenUsed/>
    <w:rsid w:val="00B41489"/>
    <w:rPr>
      <w:color w:val="0000FF" w:themeColor="hyperlink"/>
      <w:u w:val="single"/>
    </w:rPr>
  </w:style>
  <w:style w:type="paragraph" w:customStyle="1" w:styleId="Titre10">
    <w:name w:val="Titre1"/>
    <w:basedOn w:val="Normal"/>
    <w:next w:val="Corpsdetexte"/>
    <w:qFormat/>
    <w:pPr>
      <w:keepNext/>
      <w:spacing w:before="240" w:after="120"/>
    </w:pPr>
    <w:rPr>
      <w:rFonts w:ascii="Liberation Sans" w:eastAsia="Noto Sans CJK SC Regular" w:hAnsi="Liberation Sans" w:cs="Lohit Devanagari"/>
      <w:sz w:val="28"/>
      <w:szCs w:val="28"/>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extedebulles">
    <w:name w:val="Balloon Text"/>
    <w:basedOn w:val="Normal"/>
    <w:link w:val="TextedebullesCar"/>
    <w:uiPriority w:val="99"/>
    <w:semiHidden/>
    <w:unhideWhenUsed/>
    <w:qFormat/>
    <w:rsid w:val="00A64E8F"/>
    <w:pPr>
      <w:spacing w:after="0"/>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uiPriority w:val="99"/>
    <w:unhideWhenUsed/>
    <w:rsid w:val="00A04665"/>
    <w:pPr>
      <w:tabs>
        <w:tab w:val="center" w:pos="4536"/>
        <w:tab w:val="right" w:pos="9072"/>
      </w:tabs>
      <w:spacing w:after="0"/>
    </w:pPr>
  </w:style>
  <w:style w:type="paragraph" w:styleId="Pieddepage">
    <w:name w:val="footer"/>
    <w:basedOn w:val="Normal"/>
    <w:link w:val="PieddepageCar"/>
    <w:uiPriority w:val="99"/>
    <w:unhideWhenUsed/>
    <w:rsid w:val="00A04665"/>
    <w:pPr>
      <w:tabs>
        <w:tab w:val="center" w:pos="4536"/>
        <w:tab w:val="right" w:pos="9072"/>
      </w:tabs>
      <w:spacing w:after="0"/>
    </w:pPr>
  </w:style>
  <w:style w:type="paragraph" w:styleId="Sansinterligne">
    <w:name w:val="No Spacing"/>
    <w:uiPriority w:val="1"/>
    <w:qFormat/>
    <w:rsid w:val="00CA5BB7"/>
    <w:pPr>
      <w:jc w:val="both"/>
    </w:pPr>
    <w:rPr>
      <w:rFonts w:ascii="Calibri" w:eastAsia="Calibri" w:hAnsi="Calibri"/>
      <w:color w:val="00000A"/>
      <w:sz w:val="18"/>
    </w:rPr>
  </w:style>
  <w:style w:type="paragraph" w:customStyle="1" w:styleId="Default">
    <w:name w:val="Default"/>
    <w:qFormat/>
    <w:rsid w:val="00AB6E68"/>
    <w:rPr>
      <w:rFonts w:ascii="Arial" w:eastAsia="Calibri" w:hAnsi="Arial" w:cs="Arial"/>
      <w:color w:val="000000"/>
      <w:sz w:val="24"/>
      <w:szCs w:val="24"/>
    </w:rPr>
  </w:style>
  <w:style w:type="paragraph" w:styleId="Paragraphedeliste">
    <w:name w:val="List Paragraph"/>
    <w:basedOn w:val="Normal"/>
    <w:uiPriority w:val="34"/>
    <w:qFormat/>
    <w:rsid w:val="00AB6E68"/>
    <w:pPr>
      <w:ind w:left="720"/>
      <w:contextualSpacing/>
    </w:pPr>
  </w:style>
  <w:style w:type="table" w:styleId="Grilledutableau">
    <w:name w:val="Table Grid"/>
    <w:basedOn w:val="TableauNormal"/>
    <w:uiPriority w:val="59"/>
    <w:rsid w:val="00A64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beralps-contact@univ-grenoble-alpe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3A35F-D49B-4DE1-8F7B-9F3678EA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1690</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ANNOUCHKA MATHIEU</cp:lastModifiedBy>
  <cp:revision>2</cp:revision>
  <cp:lastPrinted>2018-12-05T08:54:00Z</cp:lastPrinted>
  <dcterms:created xsi:type="dcterms:W3CDTF">2023-11-28T16:18:00Z</dcterms:created>
  <dcterms:modified xsi:type="dcterms:W3CDTF">2023-11-28T16:18:00Z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